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A7F2" w14:textId="77777777" w:rsidR="00732461" w:rsidRPr="00732461" w:rsidRDefault="00732461" w:rsidP="00511954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732461">
        <w:rPr>
          <w:rFonts w:ascii="Arial" w:hAnsi="Arial" w:cs="Arial"/>
          <w:sz w:val="22"/>
          <w:szCs w:val="22"/>
        </w:rPr>
        <w:t>Section</w:t>
      </w:r>
      <w:r w:rsidRPr="00732461">
        <w:rPr>
          <w:rFonts w:ascii="Arial" w:hAnsi="Arial" w:cs="Arial"/>
          <w:sz w:val="22"/>
          <w:szCs w:val="22"/>
          <w:lang w:val="en-US"/>
        </w:rPr>
        <w:t xml:space="preserve"> 6 of the </w:t>
      </w:r>
      <w:r w:rsidRPr="00732461">
        <w:rPr>
          <w:rFonts w:ascii="Arial" w:hAnsi="Arial" w:cs="Arial"/>
          <w:i/>
          <w:sz w:val="22"/>
          <w:szCs w:val="22"/>
          <w:lang w:val="en-US"/>
        </w:rPr>
        <w:t>Family and Child Commission Act 2014</w:t>
      </w:r>
      <w:r w:rsidRPr="00732461">
        <w:rPr>
          <w:rFonts w:ascii="Arial" w:hAnsi="Arial" w:cs="Arial"/>
          <w:sz w:val="22"/>
          <w:szCs w:val="22"/>
          <w:lang w:val="en-US"/>
        </w:rPr>
        <w:t xml:space="preserve"> (the Act) provides for the establishment of the </w:t>
      </w:r>
      <w:r>
        <w:rPr>
          <w:rFonts w:ascii="Arial" w:hAnsi="Arial" w:cs="Arial"/>
          <w:sz w:val="22"/>
          <w:szCs w:val="22"/>
          <w:lang w:val="en-US"/>
        </w:rPr>
        <w:t>Queensland Family and Child Commission (QFCC)</w:t>
      </w:r>
      <w:r w:rsidRPr="00732461">
        <w:rPr>
          <w:rFonts w:ascii="Arial" w:hAnsi="Arial" w:cs="Arial"/>
          <w:sz w:val="22"/>
          <w:szCs w:val="22"/>
          <w:lang w:val="en-US"/>
        </w:rPr>
        <w:t xml:space="preserve">. The </w:t>
      </w:r>
      <w:r>
        <w:rPr>
          <w:rFonts w:ascii="Arial" w:hAnsi="Arial" w:cs="Arial"/>
          <w:sz w:val="22"/>
          <w:szCs w:val="22"/>
          <w:lang w:val="en-US"/>
        </w:rPr>
        <w:t>QFCC</w:t>
      </w:r>
      <w:r w:rsidRPr="00732461">
        <w:rPr>
          <w:rFonts w:ascii="Arial" w:hAnsi="Arial" w:cs="Arial"/>
          <w:sz w:val="22"/>
          <w:szCs w:val="22"/>
          <w:lang w:val="en-US"/>
        </w:rPr>
        <w:t xml:space="preserve"> has been established to: </w:t>
      </w:r>
    </w:p>
    <w:p w14:paraId="701BA7F3" w14:textId="77777777" w:rsidR="00732461" w:rsidRPr="00732461" w:rsidRDefault="00732461" w:rsidP="00511954">
      <w:pPr>
        <w:keepLines/>
        <w:numPr>
          <w:ilvl w:val="1"/>
          <w:numId w:val="4"/>
        </w:numPr>
        <w:spacing w:before="12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732461">
        <w:rPr>
          <w:rFonts w:ascii="Arial" w:hAnsi="Arial" w:cs="Arial"/>
          <w:sz w:val="22"/>
          <w:szCs w:val="22"/>
          <w:lang w:val="en-US"/>
        </w:rPr>
        <w:t xml:space="preserve">promote the safety, wellbeing and best interests of children and young people; </w:t>
      </w:r>
    </w:p>
    <w:p w14:paraId="701BA7F4" w14:textId="77777777" w:rsidR="00732461" w:rsidRPr="00732461" w:rsidRDefault="00732461" w:rsidP="00511954">
      <w:pPr>
        <w:keepLines/>
        <w:numPr>
          <w:ilvl w:val="1"/>
          <w:numId w:val="4"/>
        </w:numPr>
        <w:spacing w:before="12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732461">
        <w:rPr>
          <w:rFonts w:ascii="Arial" w:hAnsi="Arial" w:cs="Arial"/>
          <w:sz w:val="22"/>
          <w:szCs w:val="22"/>
          <w:lang w:val="en-US"/>
        </w:rPr>
        <w:t xml:space="preserve">promote and advocate the responsibilities of families and communities to protect and care for children and young people; and </w:t>
      </w:r>
    </w:p>
    <w:p w14:paraId="701BA7F5" w14:textId="77777777" w:rsidR="00732461" w:rsidRPr="00732461" w:rsidRDefault="00732461" w:rsidP="00511954">
      <w:pPr>
        <w:keepLines/>
        <w:numPr>
          <w:ilvl w:val="1"/>
          <w:numId w:val="4"/>
        </w:numPr>
        <w:spacing w:before="120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 w:rsidRPr="00732461">
        <w:rPr>
          <w:rFonts w:ascii="Arial" w:hAnsi="Arial" w:cs="Arial"/>
          <w:sz w:val="22"/>
          <w:szCs w:val="22"/>
          <w:lang w:val="en-US"/>
        </w:rPr>
        <w:t xml:space="preserve">improve the child protection system. </w:t>
      </w:r>
    </w:p>
    <w:p w14:paraId="701BA7F6" w14:textId="77777777" w:rsidR="00732461" w:rsidRPr="00732461" w:rsidRDefault="00732461" w:rsidP="00511954">
      <w:pPr>
        <w:keepLines/>
        <w:numPr>
          <w:ilvl w:val="0"/>
          <w:numId w:val="1"/>
        </w:numPr>
        <w:tabs>
          <w:tab w:val="clear" w:pos="360"/>
        </w:tabs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732461">
        <w:rPr>
          <w:rFonts w:ascii="Arial" w:hAnsi="Arial" w:cs="Arial"/>
          <w:sz w:val="22"/>
          <w:szCs w:val="22"/>
          <w:lang w:val="en-US"/>
        </w:rPr>
        <w:t>Section 11 of the Act provides that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32461">
        <w:rPr>
          <w:rFonts w:ascii="Arial" w:hAnsi="Arial" w:cs="Arial"/>
          <w:sz w:val="22"/>
          <w:szCs w:val="22"/>
          <w:lang w:val="en-US"/>
        </w:rPr>
        <w:t>there are to be two Commissioners for the QFCC</w:t>
      </w:r>
      <w:r>
        <w:rPr>
          <w:rFonts w:ascii="Arial" w:hAnsi="Arial" w:cs="Arial"/>
          <w:sz w:val="22"/>
          <w:szCs w:val="22"/>
          <w:lang w:val="en-US"/>
        </w:rPr>
        <w:t xml:space="preserve"> appointed by the Governor in Council on the recommendation of the Minister. </w:t>
      </w:r>
    </w:p>
    <w:p w14:paraId="701BA7F7" w14:textId="29D65D4D" w:rsidR="00732461" w:rsidRPr="00732461" w:rsidRDefault="00732461" w:rsidP="00511954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32461">
        <w:rPr>
          <w:rFonts w:ascii="Arial" w:hAnsi="Arial" w:cs="Arial"/>
          <w:sz w:val="22"/>
          <w:szCs w:val="22"/>
        </w:rPr>
        <w:t xml:space="preserve">The functions of a Commissioner include ensuring the </w:t>
      </w:r>
      <w:r w:rsidR="009149BF">
        <w:rPr>
          <w:rFonts w:ascii="Arial" w:hAnsi="Arial" w:cs="Arial"/>
          <w:sz w:val="22"/>
          <w:szCs w:val="22"/>
        </w:rPr>
        <w:t>QFCC</w:t>
      </w:r>
      <w:r w:rsidRPr="00732461">
        <w:rPr>
          <w:rFonts w:ascii="Arial" w:hAnsi="Arial" w:cs="Arial"/>
          <w:sz w:val="22"/>
          <w:szCs w:val="22"/>
        </w:rPr>
        <w:t xml:space="preserve"> performs its functions under the Act effectively and efficiently and making recommendations to the Minister about matters relating to the performance or exercise of the functions or powers of the </w:t>
      </w:r>
      <w:r w:rsidR="009149BF">
        <w:rPr>
          <w:rFonts w:ascii="Arial" w:hAnsi="Arial" w:cs="Arial"/>
          <w:sz w:val="22"/>
          <w:szCs w:val="22"/>
        </w:rPr>
        <w:t>QFCC</w:t>
      </w:r>
      <w:r w:rsidRPr="00732461">
        <w:rPr>
          <w:rFonts w:ascii="Arial" w:hAnsi="Arial" w:cs="Arial"/>
          <w:sz w:val="22"/>
          <w:szCs w:val="22"/>
        </w:rPr>
        <w:t xml:space="preserve"> and that may help the Minister in the proper administration of the Act.</w:t>
      </w:r>
    </w:p>
    <w:p w14:paraId="701BA7F8" w14:textId="5648C32B" w:rsidR="00732461" w:rsidRPr="00732461" w:rsidRDefault="00732461" w:rsidP="00511954">
      <w:pPr>
        <w:keepLines/>
        <w:numPr>
          <w:ilvl w:val="0"/>
          <w:numId w:val="1"/>
        </w:numPr>
        <w:tabs>
          <w:tab w:val="clear" w:pos="360"/>
        </w:tabs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732461">
        <w:rPr>
          <w:rFonts w:ascii="Arial" w:hAnsi="Arial" w:cs="Arial"/>
          <w:sz w:val="22"/>
          <w:szCs w:val="22"/>
          <w:lang w:val="en-US"/>
        </w:rPr>
        <w:t>Section 11 of the Act also provides that the Minister may recommend a person for appointment only if the Minister is satisfied the person is appropriately qualified to exercise the QFCC</w:t>
      </w:r>
      <w:r w:rsidR="00511954">
        <w:rPr>
          <w:rFonts w:ascii="Arial" w:hAnsi="Arial" w:cs="Arial"/>
          <w:sz w:val="22"/>
          <w:szCs w:val="22"/>
          <w:lang w:val="en-US"/>
        </w:rPr>
        <w:t xml:space="preserve"> </w:t>
      </w:r>
      <w:r w:rsidRPr="00732461">
        <w:rPr>
          <w:rFonts w:ascii="Arial" w:hAnsi="Arial" w:cs="Arial"/>
          <w:sz w:val="22"/>
          <w:szCs w:val="22"/>
          <w:lang w:val="en-US"/>
        </w:rPr>
        <w:t>functions effectively and efficiently</w:t>
      </w:r>
      <w:r>
        <w:rPr>
          <w:rFonts w:ascii="Arial" w:hAnsi="Arial" w:cs="Arial"/>
          <w:sz w:val="22"/>
          <w:szCs w:val="22"/>
          <w:lang w:val="en-US"/>
        </w:rPr>
        <w:t xml:space="preserve"> and </w:t>
      </w:r>
      <w:r w:rsidR="00511954">
        <w:rPr>
          <w:rFonts w:ascii="Arial" w:hAnsi="Arial" w:cs="Arial"/>
          <w:sz w:val="22"/>
          <w:szCs w:val="22"/>
          <w:lang w:val="en-US"/>
        </w:rPr>
        <w:t xml:space="preserve">that </w:t>
      </w:r>
      <w:r w:rsidRPr="00732461">
        <w:rPr>
          <w:rFonts w:ascii="Arial" w:hAnsi="Arial" w:cs="Arial"/>
          <w:sz w:val="22"/>
          <w:szCs w:val="22"/>
          <w:lang w:val="en-US"/>
        </w:rPr>
        <w:t>at least one person recommended by the Minister for appointment as a Commissioner must be an Aboriginal person or a Torres Strait Islander.</w:t>
      </w:r>
    </w:p>
    <w:p w14:paraId="701BA7F9" w14:textId="53DE72B8" w:rsidR="00094025" w:rsidRPr="00EC5418" w:rsidRDefault="00094025" w:rsidP="00511954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732461">
        <w:rPr>
          <w:rFonts w:ascii="Arial" w:hAnsi="Arial" w:cs="Arial"/>
          <w:sz w:val="22"/>
          <w:szCs w:val="22"/>
        </w:rPr>
        <w:t>that Ms Natalie Lewis</w:t>
      </w:r>
      <w:r w:rsidR="009149BF">
        <w:rPr>
          <w:rFonts w:ascii="Arial" w:hAnsi="Arial" w:cs="Arial"/>
          <w:sz w:val="22"/>
          <w:szCs w:val="22"/>
        </w:rPr>
        <w:t xml:space="preserve"> be recommended to the Governor in Council for appointment</w:t>
      </w:r>
      <w:r w:rsidR="00732461">
        <w:rPr>
          <w:rFonts w:ascii="Arial" w:hAnsi="Arial" w:cs="Arial"/>
          <w:sz w:val="22"/>
          <w:szCs w:val="22"/>
        </w:rPr>
        <w:t xml:space="preserve"> as a Commissioner of the Q</w:t>
      </w:r>
      <w:r w:rsidR="0036464C">
        <w:rPr>
          <w:rFonts w:ascii="Arial" w:hAnsi="Arial" w:cs="Arial"/>
          <w:sz w:val="22"/>
          <w:szCs w:val="22"/>
        </w:rPr>
        <w:t xml:space="preserve">ueensland </w:t>
      </w:r>
      <w:r w:rsidR="00621FDF">
        <w:rPr>
          <w:rFonts w:ascii="Arial" w:hAnsi="Arial" w:cs="Arial"/>
          <w:sz w:val="22"/>
          <w:szCs w:val="22"/>
        </w:rPr>
        <w:t>Family and Child Commission</w:t>
      </w:r>
      <w:r w:rsidR="00732461">
        <w:rPr>
          <w:rFonts w:ascii="Arial" w:hAnsi="Arial" w:cs="Arial"/>
          <w:sz w:val="22"/>
          <w:szCs w:val="22"/>
        </w:rPr>
        <w:t xml:space="preserve"> for a term of three years commencing on and from </w:t>
      </w:r>
      <w:r w:rsidR="00FB02A7">
        <w:rPr>
          <w:rFonts w:ascii="Arial" w:hAnsi="Arial" w:cs="Arial"/>
          <w:sz w:val="22"/>
          <w:szCs w:val="22"/>
        </w:rPr>
        <w:t>four weeks following Governor in Council approval</w:t>
      </w:r>
      <w:r>
        <w:rPr>
          <w:rFonts w:ascii="Arial" w:hAnsi="Arial" w:cs="Arial"/>
          <w:sz w:val="22"/>
          <w:szCs w:val="22"/>
        </w:rPr>
        <w:t>.</w:t>
      </w:r>
    </w:p>
    <w:p w14:paraId="701BA7FA" w14:textId="6D611EE2" w:rsidR="009149BF" w:rsidRPr="005325F0" w:rsidRDefault="009149BF" w:rsidP="00511954">
      <w:pPr>
        <w:numPr>
          <w:ilvl w:val="0"/>
          <w:numId w:val="1"/>
        </w:numPr>
        <w:spacing w:before="36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325F0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701BA7FC" w14:textId="5796C94D" w:rsidR="00094025" w:rsidRPr="00511954" w:rsidRDefault="009149BF" w:rsidP="00511954">
      <w:pPr>
        <w:pStyle w:val="ListParagraph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49BF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094025" w:rsidRPr="00511954" w:rsidSect="00011D95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36BA" w14:textId="77777777" w:rsidR="00FC1121" w:rsidRDefault="00FC1121" w:rsidP="00D6589B">
      <w:r>
        <w:separator/>
      </w:r>
    </w:p>
  </w:endnote>
  <w:endnote w:type="continuationSeparator" w:id="0">
    <w:p w14:paraId="35D6CEC5" w14:textId="77777777" w:rsidR="00FC1121" w:rsidRDefault="00FC112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6A235" w14:textId="77777777" w:rsidR="00FC1121" w:rsidRDefault="00FC1121" w:rsidP="00D6589B">
      <w:r>
        <w:separator/>
      </w:r>
    </w:p>
  </w:footnote>
  <w:footnote w:type="continuationSeparator" w:id="0">
    <w:p w14:paraId="099C85ED" w14:textId="77777777" w:rsidR="00FC1121" w:rsidRDefault="00FC112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791B" w14:textId="77777777" w:rsidR="00950EDB" w:rsidRPr="00937A4A" w:rsidRDefault="00950EDB" w:rsidP="00950E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BD1D241" w14:textId="77777777" w:rsidR="00950EDB" w:rsidRPr="00937A4A" w:rsidRDefault="00950EDB" w:rsidP="00950E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B7BF275" w14:textId="39268A04" w:rsidR="00950EDB" w:rsidRPr="00937A4A" w:rsidRDefault="00950EDB" w:rsidP="00950E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2020</w:t>
    </w:r>
  </w:p>
  <w:p w14:paraId="0D11739C" w14:textId="2350D54C" w:rsidR="00950EDB" w:rsidRDefault="00950EDB" w:rsidP="00950ED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Commissioner of the Queensland Family and Child Commission</w:t>
    </w:r>
  </w:p>
  <w:p w14:paraId="718CD9F2" w14:textId="1DE4553F" w:rsidR="00950EDB" w:rsidRDefault="00950EDB" w:rsidP="00950ED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4392148C" w14:textId="77777777" w:rsidR="00950EDB" w:rsidRDefault="00950EDB" w:rsidP="00950ED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10069"/>
    <w:multiLevelType w:val="hybridMultilevel"/>
    <w:tmpl w:val="B98A9AB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3C2664">
      <w:start w:val="1"/>
      <w:numFmt w:val="lowerLetter"/>
      <w:lvlText w:val="(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E534163"/>
    <w:multiLevelType w:val="hybridMultilevel"/>
    <w:tmpl w:val="805E3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3ED2"/>
    <w:multiLevelType w:val="hybridMultilevel"/>
    <w:tmpl w:val="842029A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3C2664">
      <w:start w:val="1"/>
      <w:numFmt w:val="lowerLetter"/>
      <w:lvlText w:val="(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BE9016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912108"/>
    <w:multiLevelType w:val="hybridMultilevel"/>
    <w:tmpl w:val="C484721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E3C2664">
      <w:start w:val="1"/>
      <w:numFmt w:val="lowerLetter"/>
      <w:lvlText w:val="(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FC637C6"/>
    <w:lvl w:ilvl="0" w:tplc="F86AA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D5"/>
    <w:rsid w:val="0000598A"/>
    <w:rsid w:val="00011D95"/>
    <w:rsid w:val="000174CA"/>
    <w:rsid w:val="00035DDF"/>
    <w:rsid w:val="00080F8F"/>
    <w:rsid w:val="00094025"/>
    <w:rsid w:val="000F36EA"/>
    <w:rsid w:val="001340D5"/>
    <w:rsid w:val="001A06C0"/>
    <w:rsid w:val="001E209B"/>
    <w:rsid w:val="0036464C"/>
    <w:rsid w:val="003D0EFE"/>
    <w:rsid w:val="00501C66"/>
    <w:rsid w:val="00511954"/>
    <w:rsid w:val="005325F0"/>
    <w:rsid w:val="00550373"/>
    <w:rsid w:val="00621FDF"/>
    <w:rsid w:val="006462CE"/>
    <w:rsid w:val="00663A4B"/>
    <w:rsid w:val="00732461"/>
    <w:rsid w:val="00732E22"/>
    <w:rsid w:val="00762359"/>
    <w:rsid w:val="00766FC7"/>
    <w:rsid w:val="007D5E26"/>
    <w:rsid w:val="007F6769"/>
    <w:rsid w:val="008B7DE8"/>
    <w:rsid w:val="008C495A"/>
    <w:rsid w:val="008F44CD"/>
    <w:rsid w:val="009149BF"/>
    <w:rsid w:val="0091737C"/>
    <w:rsid w:val="00950EDB"/>
    <w:rsid w:val="00A100E1"/>
    <w:rsid w:val="00A203D0"/>
    <w:rsid w:val="00A527A5"/>
    <w:rsid w:val="00AB262C"/>
    <w:rsid w:val="00BB0BB3"/>
    <w:rsid w:val="00C07656"/>
    <w:rsid w:val="00C828D7"/>
    <w:rsid w:val="00CB497D"/>
    <w:rsid w:val="00CD058C"/>
    <w:rsid w:val="00CF0D8A"/>
    <w:rsid w:val="00D26836"/>
    <w:rsid w:val="00D433E5"/>
    <w:rsid w:val="00D6589B"/>
    <w:rsid w:val="00D75134"/>
    <w:rsid w:val="00DF5C50"/>
    <w:rsid w:val="00E70397"/>
    <w:rsid w:val="00E97862"/>
    <w:rsid w:val="00EC5418"/>
    <w:rsid w:val="00F431CE"/>
    <w:rsid w:val="00FB02A7"/>
    <w:rsid w:val="00FC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BA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69A80-8752-445D-922A-DB60A437E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17DE0-4A76-4C97-9999-4F3024EC0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EA56B-DBA0-4829-98DC-D3ABAAC364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1336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1592</CharactersWithSpaces>
  <SharedDoc>false</SharedDoc>
  <HyperlinkBase>https://www.cabinet.qld.gov.au/documents/2020/Apr/ApptQFCC/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11</cp:revision>
  <dcterms:created xsi:type="dcterms:W3CDTF">2020-04-08T04:51:00Z</dcterms:created>
  <dcterms:modified xsi:type="dcterms:W3CDTF">2020-08-11T02:45:00Z</dcterms:modified>
  <cp:category>Significant_Appointments,Children,Child_Protection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